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9B52" w14:textId="762F1B77" w:rsidR="008448EC" w:rsidRDefault="001323E4" w:rsidP="008B1CFC">
      <w:pPr>
        <w:ind w:left="0"/>
        <w:rPr>
          <w:rFonts w:ascii="Calibri" w:hAnsi="Calibri"/>
        </w:rPr>
      </w:pPr>
      <w:r w:rsidRPr="00B446A9">
        <w:rPr>
          <w:rFonts w:ascii="Calibri" w:hAnsi="Calibri"/>
          <w:noProof/>
          <w:lang w:eastAsia="fr-FR"/>
        </w:rPr>
        <w:drawing>
          <wp:inline distT="0" distB="0" distL="0" distR="0" wp14:anchorId="375DB834" wp14:editId="3E058E41">
            <wp:extent cx="3023870" cy="358140"/>
            <wp:effectExtent l="0" t="0" r="0" b="0"/>
            <wp:docPr id="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6391" w14:textId="7AE4B5BC" w:rsidR="009A0743" w:rsidRPr="009A0743" w:rsidRDefault="001323E4" w:rsidP="00C20EBD">
      <w:pPr>
        <w:ind w:left="0"/>
        <w:rPr>
          <w:rFonts w:ascii="Calibri" w:hAnsi="Calibri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5ACA980" wp14:editId="2B7677F5">
            <wp:simplePos x="0" y="0"/>
            <wp:positionH relativeFrom="column">
              <wp:posOffset>4053840</wp:posOffset>
            </wp:positionH>
            <wp:positionV relativeFrom="paragraph">
              <wp:posOffset>165735</wp:posOffset>
            </wp:positionV>
            <wp:extent cx="2270760" cy="1748790"/>
            <wp:effectExtent l="0" t="0" r="0" b="0"/>
            <wp:wrapSquare wrapText="bothSides"/>
            <wp:docPr id="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BD" w:rsidRPr="00136171">
        <w:rPr>
          <w:rFonts w:ascii="Calibri" w:hAnsi="Calibri"/>
          <w:color w:val="FF0000"/>
          <w:sz w:val="18"/>
        </w:rPr>
        <w:sym w:font="Wingdings 3" w:char="F075"/>
      </w:r>
      <w:r w:rsidR="00C20EBD">
        <w:rPr>
          <w:rFonts w:ascii="Calibri" w:hAnsi="Calibri"/>
          <w:color w:val="FF0000"/>
          <w:sz w:val="18"/>
        </w:rPr>
        <w:t xml:space="preserve"> </w:t>
      </w:r>
      <w:r w:rsidR="009A0743" w:rsidRPr="009A0743">
        <w:rPr>
          <w:rFonts w:ascii="Calibri" w:hAnsi="Calibri"/>
          <w:b/>
          <w:sz w:val="20"/>
          <w:szCs w:val="20"/>
        </w:rPr>
        <w:t>La répartition des salaires mensuels dans deux entreprises, l’une située en France et l’autre au Japon, est connue par le tableau ci-contre</w:t>
      </w:r>
      <w:r w:rsidR="009A0743">
        <w:rPr>
          <w:rFonts w:ascii="Calibri" w:hAnsi="Calibri"/>
          <w:b/>
          <w:sz w:val="20"/>
          <w:szCs w:val="20"/>
        </w:rPr>
        <w:t>.</w:t>
      </w:r>
    </w:p>
    <w:p w14:paraId="07A79629" w14:textId="77777777" w:rsidR="00942971" w:rsidRDefault="00942971" w:rsidP="009A0743">
      <w:pPr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43384643" w14:textId="77777777" w:rsidR="009A0743" w:rsidRDefault="009A0743" w:rsidP="00B56235">
      <w:pPr>
        <w:ind w:left="0"/>
        <w:jc w:val="both"/>
        <w:rPr>
          <w:rFonts w:ascii="Calibri" w:hAnsi="Calibri"/>
          <w:sz w:val="20"/>
          <w:szCs w:val="20"/>
        </w:rPr>
      </w:pPr>
      <w:r w:rsidRPr="009A0743">
        <w:rPr>
          <w:rFonts w:ascii="Calibri" w:hAnsi="Calibri"/>
          <w:b/>
          <w:color w:val="0000FF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 xml:space="preserve"> Quel type de graphique peut-on choisir pour comparer ces deux entreprises ? </w:t>
      </w:r>
    </w:p>
    <w:p w14:paraId="60EC47FD" w14:textId="77777777" w:rsidR="00942971" w:rsidRPr="00E93D73" w:rsidRDefault="00942971" w:rsidP="00942971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</w:t>
      </w:r>
      <w:r w:rsidR="00C050BD">
        <w:rPr>
          <w:rFonts w:ascii="Calibri" w:hAnsi="Calibri"/>
          <w:sz w:val="20"/>
          <w:szCs w:val="20"/>
        </w:rPr>
        <w:t>………………………………………………………………</w:t>
      </w:r>
      <w:r w:rsidR="00B56235">
        <w:rPr>
          <w:rFonts w:ascii="Calibri" w:hAnsi="Calibri"/>
          <w:sz w:val="20"/>
          <w:szCs w:val="20"/>
        </w:rPr>
        <w:t>……….</w:t>
      </w:r>
      <w:r w:rsidR="00C050BD">
        <w:rPr>
          <w:rFonts w:ascii="Calibri" w:hAnsi="Calibri"/>
          <w:sz w:val="20"/>
          <w:szCs w:val="20"/>
        </w:rPr>
        <w:t>…………………</w:t>
      </w:r>
    </w:p>
    <w:p w14:paraId="639291F8" w14:textId="77777777" w:rsidR="009A0743" w:rsidRDefault="00942971" w:rsidP="00942971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</w:t>
      </w:r>
      <w:r w:rsidR="00C050BD">
        <w:rPr>
          <w:rFonts w:ascii="Calibri" w:hAnsi="Calibri"/>
          <w:sz w:val="20"/>
          <w:szCs w:val="20"/>
        </w:rPr>
        <w:t>……………………………………………………………………………</w:t>
      </w:r>
      <w:r w:rsidR="00B56235">
        <w:rPr>
          <w:rFonts w:ascii="Calibri" w:hAnsi="Calibri"/>
          <w:sz w:val="20"/>
          <w:szCs w:val="20"/>
        </w:rPr>
        <w:t>……….</w:t>
      </w:r>
      <w:r w:rsidR="00C050BD">
        <w:rPr>
          <w:rFonts w:ascii="Calibri" w:hAnsi="Calibri"/>
          <w:sz w:val="20"/>
          <w:szCs w:val="20"/>
        </w:rPr>
        <w:t>……</w:t>
      </w:r>
    </w:p>
    <w:p w14:paraId="08F6C7DD" w14:textId="77777777" w:rsidR="00942971" w:rsidRPr="00DC035E" w:rsidRDefault="00942971" w:rsidP="00942971">
      <w:pPr>
        <w:spacing w:before="120"/>
        <w:ind w:left="0"/>
        <w:rPr>
          <w:rFonts w:ascii="Calibri" w:hAnsi="Calibri"/>
          <w:sz w:val="20"/>
          <w:szCs w:val="20"/>
        </w:rPr>
      </w:pPr>
    </w:p>
    <w:p w14:paraId="7E5E2AEB" w14:textId="77777777" w:rsidR="009A0743" w:rsidRPr="00DC035E" w:rsidRDefault="009A0743" w:rsidP="009A0743">
      <w:pPr>
        <w:ind w:left="0"/>
        <w:rPr>
          <w:rFonts w:ascii="Calibri" w:hAnsi="Calibri"/>
          <w:sz w:val="20"/>
          <w:szCs w:val="20"/>
        </w:rPr>
      </w:pPr>
      <w:r w:rsidRPr="009A0743">
        <w:rPr>
          <w:rFonts w:ascii="Calibri" w:hAnsi="Calibri"/>
          <w:b/>
          <w:color w:val="0000FF"/>
          <w:sz w:val="20"/>
          <w:szCs w:val="20"/>
        </w:rPr>
        <w:t>2</w:t>
      </w:r>
      <w:r>
        <w:rPr>
          <w:rFonts w:ascii="Calibri" w:hAnsi="Calibri"/>
          <w:b/>
          <w:color w:val="0000FF"/>
          <w:sz w:val="20"/>
          <w:szCs w:val="20"/>
        </w:rPr>
        <w:t>.</w:t>
      </w:r>
      <w:r w:rsidRPr="009A0743">
        <w:rPr>
          <w:rFonts w:ascii="Calibri" w:hAnsi="Calibri"/>
          <w:b/>
          <w:color w:val="0000FF"/>
          <w:sz w:val="20"/>
          <w:szCs w:val="20"/>
        </w:rPr>
        <w:t xml:space="preserve"> a)</w:t>
      </w:r>
      <w:r w:rsidRPr="00DC035E">
        <w:rPr>
          <w:rFonts w:ascii="Calibri" w:hAnsi="Calibri"/>
          <w:sz w:val="20"/>
          <w:szCs w:val="20"/>
        </w:rPr>
        <w:t xml:space="preserve"> Pour l’entreprise française, traduire à l’aide d’une phrase</w:t>
      </w:r>
      <w:r>
        <w:rPr>
          <w:rFonts w:ascii="Calibri" w:hAnsi="Calibri"/>
          <w:sz w:val="20"/>
          <w:szCs w:val="20"/>
        </w:rPr>
        <w:t xml:space="preserve"> chacune des valeurs données :</w:t>
      </w:r>
    </w:p>
    <w:p w14:paraId="7DA17E11" w14:textId="77777777" w:rsidR="009A0743" w:rsidRDefault="009A0743" w:rsidP="009A0743">
      <w:pPr>
        <w:ind w:left="0"/>
        <w:jc w:val="center"/>
        <w:rPr>
          <w:rFonts w:ascii="Calibri" w:hAnsi="Calibri"/>
          <w:sz w:val="20"/>
          <w:szCs w:val="20"/>
        </w:rPr>
      </w:pPr>
      <w:r w:rsidRPr="00DC035E">
        <w:rPr>
          <w:rFonts w:ascii="Calibri" w:hAnsi="Calibri"/>
          <w:sz w:val="20"/>
          <w:szCs w:val="20"/>
        </w:rPr>
        <w:t>Me = 2,01 ; Q</w:t>
      </w:r>
      <w:r w:rsidRPr="00DC035E">
        <w:rPr>
          <w:rFonts w:ascii="Calibri" w:hAnsi="Calibri"/>
          <w:sz w:val="20"/>
          <w:szCs w:val="20"/>
          <w:vertAlign w:val="subscript"/>
        </w:rPr>
        <w:t>1</w:t>
      </w:r>
      <w:r w:rsidRPr="00DC035E">
        <w:rPr>
          <w:rFonts w:ascii="Calibri" w:hAnsi="Calibri"/>
          <w:sz w:val="20"/>
          <w:szCs w:val="20"/>
        </w:rPr>
        <w:t>= 1,45 ;  D</w:t>
      </w:r>
      <w:r w:rsidRPr="00DC035E">
        <w:rPr>
          <w:rFonts w:ascii="Calibri" w:hAnsi="Calibri"/>
          <w:sz w:val="20"/>
          <w:szCs w:val="20"/>
          <w:vertAlign w:val="subscript"/>
        </w:rPr>
        <w:t>9</w:t>
      </w:r>
      <w:r w:rsidRPr="00DC035E">
        <w:rPr>
          <w:rFonts w:ascii="Calibri" w:hAnsi="Calibri"/>
          <w:sz w:val="20"/>
          <w:szCs w:val="20"/>
        </w:rPr>
        <w:t>= 3,54</w:t>
      </w:r>
      <w:r>
        <w:rPr>
          <w:rFonts w:ascii="Calibri" w:hAnsi="Calibri"/>
          <w:sz w:val="20"/>
          <w:szCs w:val="20"/>
        </w:rPr>
        <w:t xml:space="preserve"> </w:t>
      </w:r>
      <w:r w:rsidRPr="00DC035E">
        <w:rPr>
          <w:rFonts w:ascii="Calibri" w:hAnsi="Calibri"/>
          <w:sz w:val="20"/>
          <w:szCs w:val="20"/>
        </w:rPr>
        <w:t>.</w:t>
      </w:r>
    </w:p>
    <w:p w14:paraId="376E4664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C8F39AE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DA48966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C37E8F1" w14:textId="7F332133" w:rsidR="009A0743" w:rsidRDefault="009A0743" w:rsidP="00B56235">
      <w:pPr>
        <w:ind w:left="0" w:firstLine="6946"/>
        <w:rPr>
          <w:rFonts w:ascii="Calibri" w:hAnsi="Calibri"/>
          <w:sz w:val="20"/>
          <w:szCs w:val="20"/>
        </w:rPr>
      </w:pPr>
    </w:p>
    <w:p w14:paraId="37F04C0E" w14:textId="77777777" w:rsidR="009A0743" w:rsidRDefault="009A0743" w:rsidP="009A0743">
      <w:pPr>
        <w:ind w:left="0"/>
        <w:rPr>
          <w:rFonts w:ascii="Calibri" w:hAnsi="Calibri"/>
          <w:sz w:val="20"/>
          <w:szCs w:val="20"/>
        </w:rPr>
      </w:pPr>
      <w:r w:rsidRPr="009A0743">
        <w:rPr>
          <w:rFonts w:ascii="Calibri" w:hAnsi="Calibri"/>
          <w:b/>
          <w:color w:val="0000FF"/>
          <w:sz w:val="20"/>
          <w:szCs w:val="20"/>
        </w:rPr>
        <w:t>b)</w:t>
      </w:r>
      <w:r w:rsidRPr="00DC035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DC035E">
        <w:rPr>
          <w:rFonts w:ascii="Calibri" w:hAnsi="Calibri"/>
          <w:sz w:val="20"/>
          <w:szCs w:val="20"/>
        </w:rPr>
        <w:t>our chacune des deux entreprises</w:t>
      </w:r>
      <w:r>
        <w:rPr>
          <w:rFonts w:ascii="Calibri" w:hAnsi="Calibri"/>
          <w:sz w:val="20"/>
          <w:szCs w:val="20"/>
        </w:rPr>
        <w:t>, c</w:t>
      </w:r>
      <w:r w:rsidR="00942971">
        <w:rPr>
          <w:rFonts w:ascii="Calibri" w:hAnsi="Calibri"/>
          <w:sz w:val="20"/>
          <w:szCs w:val="20"/>
        </w:rPr>
        <w:t>onstruire le diagramme en boî</w:t>
      </w:r>
      <w:r w:rsidRPr="00DC035E">
        <w:rPr>
          <w:rFonts w:ascii="Calibri" w:hAnsi="Calibri"/>
          <w:sz w:val="20"/>
          <w:szCs w:val="20"/>
        </w:rPr>
        <w:t xml:space="preserve">te dont les extrémités sont les déciles. </w:t>
      </w:r>
    </w:p>
    <w:p w14:paraId="18A27B26" w14:textId="55F121CE" w:rsidR="009A0743" w:rsidRDefault="001323E4" w:rsidP="009A0743">
      <w:pPr>
        <w:spacing w:before="0"/>
        <w:ind w:left="0" w:right="-2127"/>
        <w:rPr>
          <w:rFonts w:ascii="Calibri" w:hAnsi="Calibri"/>
          <w:sz w:val="20"/>
          <w:szCs w:val="20"/>
        </w:rPr>
      </w:pPr>
      <w:r w:rsidRPr="00B446A9">
        <w:rPr>
          <w:rFonts w:ascii="Calibri" w:hAnsi="Calibri"/>
          <w:noProof/>
          <w:sz w:val="20"/>
          <w:szCs w:val="20"/>
          <w:lang w:eastAsia="fr-FR"/>
        </w:rPr>
        <w:drawing>
          <wp:inline distT="0" distB="0" distL="0" distR="0" wp14:anchorId="745998FF" wp14:editId="7FB4CB88">
            <wp:extent cx="6299200" cy="1040130"/>
            <wp:effectExtent l="0" t="0" r="0" b="0"/>
            <wp:docPr id="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0DEA" w14:textId="0827D331" w:rsidR="009A0743" w:rsidRDefault="009A0743" w:rsidP="009A0743">
      <w:pPr>
        <w:spacing w:before="0"/>
        <w:ind w:left="0"/>
        <w:rPr>
          <w:rFonts w:ascii="Calibri" w:eastAsia="Times New Roman" w:hAnsi="Calibri"/>
          <w:sz w:val="20"/>
          <w:szCs w:val="20"/>
        </w:rPr>
      </w:pPr>
      <w:r w:rsidRPr="009A0743">
        <w:rPr>
          <w:rFonts w:ascii="Calibri" w:hAnsi="Calibri"/>
          <w:b/>
          <w:color w:val="0000FF"/>
          <w:sz w:val="20"/>
          <w:szCs w:val="20"/>
        </w:rPr>
        <w:t>c)</w:t>
      </w:r>
      <w:r w:rsidRPr="00DC035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DC035E">
        <w:rPr>
          <w:rFonts w:ascii="Calibri" w:hAnsi="Calibri"/>
          <w:sz w:val="20"/>
          <w:szCs w:val="20"/>
        </w:rPr>
        <w:t xml:space="preserve">our chacune des séries, </w:t>
      </w:r>
      <w:r>
        <w:rPr>
          <w:rFonts w:ascii="Calibri" w:hAnsi="Calibri"/>
          <w:sz w:val="20"/>
          <w:szCs w:val="20"/>
        </w:rPr>
        <w:t>calculer les rapports</w:t>
      </w:r>
      <w:r w:rsidRPr="00DC035E">
        <w:rPr>
          <w:rFonts w:ascii="Calibri" w:hAnsi="Calibri"/>
          <w:sz w:val="20"/>
          <w:szCs w:val="20"/>
        </w:rPr>
        <w:t xml:space="preserve"> interdéciles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9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den>
        </m:f>
      </m:oMath>
      <w:r w:rsidRPr="00DC035E">
        <w:rPr>
          <w:rFonts w:ascii="Calibri" w:hAnsi="Calibri"/>
          <w:sz w:val="20"/>
          <w:szCs w:val="20"/>
        </w:rPr>
        <w:t xml:space="preserve"> </w:t>
      </w:r>
      <w:r w:rsidRPr="00DC035E">
        <w:rPr>
          <w:rFonts w:ascii="Calibri" w:eastAsia="Times New Roman" w:hAnsi="Calibri"/>
          <w:sz w:val="20"/>
          <w:szCs w:val="20"/>
        </w:rPr>
        <w:t xml:space="preserve">. </w:t>
      </w:r>
      <w:r>
        <w:rPr>
          <w:rFonts w:ascii="Calibri" w:eastAsia="Times New Roman" w:hAnsi="Calibri"/>
          <w:sz w:val="20"/>
          <w:szCs w:val="20"/>
        </w:rPr>
        <w:t>Quelle est l’unité de ce rapport ?</w:t>
      </w:r>
    </w:p>
    <w:p w14:paraId="3C318AD2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3A778B3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ACE3FC5" w14:textId="77777777" w:rsidR="009A0743" w:rsidRDefault="009A0743" w:rsidP="009A0743">
      <w:pPr>
        <w:spacing w:before="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Interpréter les résultats en termes de dispersion.</w:t>
      </w:r>
    </w:p>
    <w:p w14:paraId="3571531E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78E649D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CB6B627" w14:textId="678D9AE9" w:rsidR="003E66CB" w:rsidRPr="008F6333" w:rsidRDefault="003E66CB" w:rsidP="00B56235">
      <w:pPr>
        <w:spacing w:before="0"/>
        <w:ind w:left="0" w:right="-2127" w:firstLine="6946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6419" w:tblpY="181"/>
        <w:tblW w:w="4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134"/>
        <w:gridCol w:w="1134"/>
        <w:gridCol w:w="1240"/>
      </w:tblGrid>
      <w:tr w:rsidR="009A0743" w:rsidRPr="009A0743" w14:paraId="12C8AB04" w14:textId="77777777" w:rsidTr="00B56235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A4D9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8E4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France</w:t>
            </w:r>
          </w:p>
          <w:p w14:paraId="1FBF176D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Centre </w:t>
            </w:r>
            <w:r w:rsidR="003A426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fr-FR"/>
              </w:rPr>
              <w:t>C</w:t>
            </w:r>
            <w:r w:rsidRPr="009A0743">
              <w:rPr>
                <w:rFonts w:ascii="Calibri" w:eastAsia="Times New Roman" w:hAnsi="Calibri"/>
                <w:i/>
                <w:color w:val="000000"/>
                <w:sz w:val="20"/>
                <w:szCs w:val="20"/>
                <w:vertAlign w:val="subscript"/>
                <w:lang w:eastAsia="fr-FR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66DA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Japon</w:t>
            </w:r>
          </w:p>
          <w:p w14:paraId="6E6059C9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Centre </w:t>
            </w:r>
            <w:r w:rsidR="003A4260" w:rsidRPr="003A426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fr-FR"/>
              </w:rPr>
              <w:t>C</w:t>
            </w:r>
            <w:r w:rsidRPr="009A0743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fr-FR"/>
              </w:rPr>
              <w:t>’</w:t>
            </w:r>
            <w:r w:rsidRPr="009A0743">
              <w:rPr>
                <w:rFonts w:ascii="Calibri" w:eastAsia="Times New Roman" w:hAnsi="Calibri"/>
                <w:i/>
                <w:color w:val="000000"/>
                <w:sz w:val="20"/>
                <w:szCs w:val="20"/>
                <w:vertAlign w:val="subscript"/>
                <w:lang w:eastAsia="fr-FR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74C0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Fréquence</w:t>
            </w:r>
          </w:p>
        </w:tc>
      </w:tr>
      <w:tr w:rsidR="009A0743" w:rsidRPr="009A0743" w14:paraId="26DD7E8F" w14:textId="77777777" w:rsidTr="00B56235">
        <w:trPr>
          <w:trHeight w:val="38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3F3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[ Min; D1 ]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F8CB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F3B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135,3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BB19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FFFFFF"/>
                <w:lang w:eastAsia="fr-FR"/>
              </w:rPr>
            </w:pPr>
            <w:r w:rsidRPr="009A0743">
              <w:rPr>
                <w:rFonts w:ascii="Calibri" w:eastAsia="Times New Roman" w:hAnsi="Calibri"/>
                <w:color w:val="FFFFFF"/>
                <w:lang w:eastAsia="fr-FR"/>
              </w:rPr>
              <w:t>10%</w:t>
            </w:r>
          </w:p>
        </w:tc>
      </w:tr>
      <w:tr w:rsidR="009A0743" w:rsidRPr="009A0743" w14:paraId="7CBD6F2E" w14:textId="77777777" w:rsidTr="00B56235">
        <w:trPr>
          <w:trHeight w:val="38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EA93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] D1; Q1 ]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CCD7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9DE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165,8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113F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FFFFFF"/>
                <w:lang w:eastAsia="fr-FR"/>
              </w:rPr>
            </w:pPr>
            <w:r w:rsidRPr="009A0743">
              <w:rPr>
                <w:rFonts w:ascii="Calibri" w:eastAsia="Times New Roman" w:hAnsi="Calibri"/>
                <w:color w:val="FFFFFF"/>
                <w:lang w:eastAsia="fr-FR"/>
              </w:rPr>
              <w:t>15%</w:t>
            </w:r>
          </w:p>
        </w:tc>
      </w:tr>
      <w:tr w:rsidR="009A0743" w:rsidRPr="009A0743" w14:paraId="5992AFDE" w14:textId="77777777" w:rsidTr="00B56235">
        <w:trPr>
          <w:trHeight w:val="38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AFD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] Q1;Me 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B862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2B1E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202,7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FB7E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FFFFFF"/>
                <w:lang w:eastAsia="fr-FR"/>
              </w:rPr>
            </w:pPr>
            <w:r w:rsidRPr="009A0743">
              <w:rPr>
                <w:rFonts w:ascii="Calibri" w:eastAsia="Times New Roman" w:hAnsi="Calibri"/>
                <w:color w:val="FFFFFF"/>
                <w:lang w:eastAsia="fr-FR"/>
              </w:rPr>
              <w:t>25%</w:t>
            </w:r>
          </w:p>
        </w:tc>
      </w:tr>
      <w:tr w:rsidR="009A0743" w:rsidRPr="009A0743" w14:paraId="3DB7BBF4" w14:textId="77777777" w:rsidTr="00B56235">
        <w:trPr>
          <w:trHeight w:val="38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C019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] Me;Q3 ]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7DF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5200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258,7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6F04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FFFFFF"/>
                <w:lang w:eastAsia="fr-FR"/>
              </w:rPr>
            </w:pPr>
            <w:r w:rsidRPr="009A0743">
              <w:rPr>
                <w:rFonts w:ascii="Calibri" w:eastAsia="Times New Roman" w:hAnsi="Calibri"/>
                <w:color w:val="FFFFFF"/>
                <w:lang w:eastAsia="fr-FR"/>
              </w:rPr>
              <w:t>25%</w:t>
            </w:r>
          </w:p>
        </w:tc>
      </w:tr>
      <w:tr w:rsidR="009A0743" w:rsidRPr="009A0743" w14:paraId="33DCB181" w14:textId="77777777" w:rsidTr="00B56235">
        <w:trPr>
          <w:trHeight w:val="38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65C4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] Q3; D9 ]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0025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7385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369,2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7455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FFFFFF"/>
                <w:lang w:eastAsia="fr-FR"/>
              </w:rPr>
            </w:pPr>
            <w:r w:rsidRPr="009A0743">
              <w:rPr>
                <w:rFonts w:ascii="Calibri" w:eastAsia="Times New Roman" w:hAnsi="Calibri"/>
                <w:color w:val="FFFFFF"/>
                <w:lang w:eastAsia="fr-FR"/>
              </w:rPr>
              <w:t>15%</w:t>
            </w:r>
          </w:p>
        </w:tc>
      </w:tr>
      <w:tr w:rsidR="009A0743" w:rsidRPr="009A0743" w14:paraId="51C4ABBA" w14:textId="77777777" w:rsidTr="00B56235">
        <w:trPr>
          <w:trHeight w:val="38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666C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] D9;Max 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1ECA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1841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lang w:eastAsia="fr-FR"/>
              </w:rPr>
              <w:t>513,7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C9C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FFFFFF"/>
                <w:lang w:eastAsia="fr-FR"/>
              </w:rPr>
            </w:pPr>
            <w:r w:rsidRPr="009A0743">
              <w:rPr>
                <w:rFonts w:ascii="Calibri" w:eastAsia="Times New Roman" w:hAnsi="Calibri"/>
                <w:color w:val="FFFFFF"/>
                <w:lang w:eastAsia="fr-FR"/>
              </w:rPr>
              <w:t>10%</w:t>
            </w:r>
          </w:p>
        </w:tc>
      </w:tr>
      <w:tr w:rsidR="009A0743" w:rsidRPr="009A0743" w14:paraId="33CF10A9" w14:textId="77777777" w:rsidTr="00B56235">
        <w:trPr>
          <w:trHeight w:val="38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DB1C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highlight w:val="lightGray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Moyenne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8128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E061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D091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FFFFFF"/>
                <w:lang w:eastAsia="fr-FR"/>
              </w:rPr>
            </w:pPr>
          </w:p>
        </w:tc>
      </w:tr>
      <w:tr w:rsidR="009A0743" w:rsidRPr="009A0743" w14:paraId="56CE7100" w14:textId="77777777" w:rsidTr="00B56235">
        <w:trPr>
          <w:trHeight w:val="38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EFE6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highlight w:val="lightGray"/>
                <w:lang w:eastAsia="fr-FR"/>
              </w:rPr>
            </w:pPr>
            <w:r w:rsidRPr="009A0743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Ecart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0F7E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0C73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49AF" w14:textId="77777777" w:rsidR="009A0743" w:rsidRPr="009A0743" w:rsidRDefault="009A0743" w:rsidP="003A4260">
            <w:pPr>
              <w:spacing w:before="0"/>
              <w:ind w:left="0"/>
              <w:jc w:val="center"/>
              <w:rPr>
                <w:rFonts w:ascii="Calibri" w:eastAsia="Times New Roman" w:hAnsi="Calibri"/>
                <w:color w:val="FFFFFF"/>
                <w:lang w:eastAsia="fr-FR"/>
              </w:rPr>
            </w:pPr>
          </w:p>
        </w:tc>
      </w:tr>
    </w:tbl>
    <w:p w14:paraId="48D1F034" w14:textId="77777777" w:rsidR="00E95F5D" w:rsidRDefault="00E95F5D" w:rsidP="009A0743">
      <w:pPr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38F8E79D" w14:textId="77777777" w:rsidR="009A0743" w:rsidRPr="00DC035E" w:rsidRDefault="009A0743" w:rsidP="00B56235">
      <w:pPr>
        <w:ind w:left="0"/>
        <w:jc w:val="both"/>
        <w:rPr>
          <w:rFonts w:ascii="Calibri" w:hAnsi="Calibri"/>
          <w:sz w:val="20"/>
          <w:szCs w:val="20"/>
        </w:rPr>
      </w:pPr>
      <w:r w:rsidRPr="009A0743">
        <w:rPr>
          <w:rFonts w:ascii="Calibri" w:hAnsi="Calibri"/>
          <w:b/>
          <w:color w:val="0000FF"/>
          <w:sz w:val="20"/>
          <w:szCs w:val="20"/>
        </w:rPr>
        <w:t>3.</w:t>
      </w:r>
      <w:r w:rsidRPr="00DC035E">
        <w:rPr>
          <w:rFonts w:ascii="Calibri" w:hAnsi="Calibri"/>
          <w:sz w:val="20"/>
          <w:szCs w:val="20"/>
        </w:rPr>
        <w:t xml:space="preserve"> Les sept paramètres donnés dans le tableau précédent définissent 6 classes.</w:t>
      </w:r>
    </w:p>
    <w:p w14:paraId="3FDA3B04" w14:textId="77777777" w:rsidR="003A4260" w:rsidRPr="00DC035E" w:rsidRDefault="009A0743" w:rsidP="00B56235">
      <w:pPr>
        <w:ind w:left="0"/>
        <w:jc w:val="both"/>
        <w:rPr>
          <w:rFonts w:ascii="Calibri" w:hAnsi="Calibri"/>
          <w:sz w:val="20"/>
          <w:szCs w:val="20"/>
        </w:rPr>
      </w:pPr>
      <w:r w:rsidRPr="009A0743">
        <w:rPr>
          <w:rFonts w:ascii="Calibri" w:hAnsi="Calibri"/>
          <w:b/>
          <w:color w:val="0000FF"/>
          <w:sz w:val="20"/>
          <w:szCs w:val="20"/>
        </w:rPr>
        <w:t>a)</w:t>
      </w:r>
      <w:r w:rsidRPr="00DC035E">
        <w:rPr>
          <w:rFonts w:ascii="Calibri" w:hAnsi="Calibri"/>
          <w:sz w:val="20"/>
          <w:szCs w:val="20"/>
        </w:rPr>
        <w:t xml:space="preserve"> Compléter le tableau ci-contre en calculant les centres de classe manquants et noter l</w:t>
      </w:r>
      <w:r>
        <w:rPr>
          <w:rFonts w:ascii="Calibri" w:hAnsi="Calibri"/>
          <w:sz w:val="20"/>
          <w:szCs w:val="20"/>
        </w:rPr>
        <w:t>a</w:t>
      </w:r>
      <w:r w:rsidRPr="00DC035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fréquence</w:t>
      </w:r>
      <w:r w:rsidRPr="00DC035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pour</w:t>
      </w:r>
      <w:r w:rsidRPr="00DC035E">
        <w:rPr>
          <w:rFonts w:ascii="Calibri" w:hAnsi="Calibri"/>
          <w:sz w:val="20"/>
          <w:szCs w:val="20"/>
        </w:rPr>
        <w:t xml:space="preserve"> chacune de ces classes.</w:t>
      </w:r>
    </w:p>
    <w:p w14:paraId="3216DF25" w14:textId="77777777" w:rsidR="003A4260" w:rsidRDefault="009A0743" w:rsidP="00B56235">
      <w:pPr>
        <w:ind w:left="0"/>
        <w:jc w:val="both"/>
        <w:rPr>
          <w:rFonts w:ascii="Calibri" w:hAnsi="Calibri"/>
          <w:sz w:val="20"/>
          <w:szCs w:val="20"/>
        </w:rPr>
      </w:pPr>
      <w:r w:rsidRPr="009A0743">
        <w:rPr>
          <w:rFonts w:ascii="Calibri" w:hAnsi="Calibri"/>
          <w:b/>
          <w:color w:val="0000FF"/>
          <w:sz w:val="20"/>
          <w:szCs w:val="20"/>
        </w:rPr>
        <w:t>b)</w:t>
      </w:r>
      <w:r w:rsidRPr="00DC035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Pour chacune des entreprises, c</w:t>
      </w:r>
      <w:r w:rsidRPr="00DC035E">
        <w:rPr>
          <w:rFonts w:ascii="Calibri" w:hAnsi="Calibri"/>
          <w:sz w:val="20"/>
          <w:szCs w:val="20"/>
        </w:rPr>
        <w:t xml:space="preserve">alculer le salaire </w:t>
      </w:r>
      <w:r>
        <w:rPr>
          <w:rFonts w:ascii="Calibri" w:hAnsi="Calibri"/>
          <w:sz w:val="20"/>
          <w:szCs w:val="20"/>
        </w:rPr>
        <w:t>mensuel</w:t>
      </w:r>
      <w:r w:rsidRPr="00DC035E">
        <w:rPr>
          <w:rFonts w:ascii="Calibri" w:hAnsi="Calibri"/>
          <w:sz w:val="20"/>
          <w:szCs w:val="20"/>
        </w:rPr>
        <w:t xml:space="preserve"> moyen </w:t>
      </w:r>
      <w:r>
        <w:rPr>
          <w:rFonts w:ascii="Calibri" w:hAnsi="Calibri"/>
          <w:sz w:val="20"/>
          <w:szCs w:val="20"/>
        </w:rPr>
        <w:t>et l’écart type en utilisant les centres de classes</w:t>
      </w:r>
      <w:r w:rsidRPr="00DC035E">
        <w:rPr>
          <w:rFonts w:ascii="Calibri" w:hAnsi="Calibri"/>
          <w:sz w:val="20"/>
          <w:szCs w:val="20"/>
        </w:rPr>
        <w:t>.</w:t>
      </w:r>
    </w:p>
    <w:p w14:paraId="327B6E5A" w14:textId="7AC59DCD" w:rsidR="009A0743" w:rsidRPr="00DC035E" w:rsidRDefault="009A0743" w:rsidP="00B56235">
      <w:pPr>
        <w:ind w:left="0"/>
        <w:jc w:val="both"/>
        <w:rPr>
          <w:rFonts w:ascii="Calibri" w:eastAsia="Times New Roman" w:hAnsi="Calibri"/>
          <w:sz w:val="20"/>
          <w:szCs w:val="20"/>
        </w:rPr>
      </w:pPr>
      <w:r w:rsidRPr="009A0743">
        <w:rPr>
          <w:rFonts w:ascii="Calibri" w:hAnsi="Calibri"/>
          <w:b/>
          <w:color w:val="0000FF"/>
          <w:sz w:val="20"/>
          <w:szCs w:val="20"/>
        </w:rPr>
        <w:t>c)</w:t>
      </w:r>
      <w:r w:rsidRPr="00DC035E">
        <w:rPr>
          <w:rFonts w:ascii="Calibri" w:hAnsi="Calibri"/>
          <w:sz w:val="20"/>
          <w:szCs w:val="20"/>
        </w:rPr>
        <w:t xml:space="preserve"> Les salaires n’étant pas exprimés dans la même unité, pour comparer la dispersion des salaires mensuels par rapport à la moyenne, on défi</w:t>
      </w:r>
      <w:r w:rsidR="00E77C7B">
        <w:rPr>
          <w:rFonts w:ascii="Calibri" w:hAnsi="Calibri"/>
          <w:sz w:val="20"/>
          <w:szCs w:val="20"/>
        </w:rPr>
        <w:t>nit le coefficient de variation</w:t>
      </w:r>
      <w:r w:rsidRPr="00DC035E">
        <w:rPr>
          <w:rFonts w:ascii="Calibri" w:hAnsi="Calibr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ba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bar>
          </m:num>
          <m:den>
            <m:r>
              <w:rPr>
                <w:rFonts w:ascii="Cambria Math" w:hAnsi="Cambria Math"/>
                <w:sz w:val="20"/>
                <w:szCs w:val="20"/>
              </w:rPr>
              <m:t>σ</m:t>
            </m:r>
          </m:den>
        </m:f>
      </m:oMath>
      <w:r w:rsidRPr="00DC035E">
        <w:rPr>
          <w:rFonts w:ascii="Calibri" w:eastAsia="Times New Roman" w:hAnsi="Calibri"/>
          <w:sz w:val="20"/>
          <w:szCs w:val="20"/>
        </w:rPr>
        <w:t xml:space="preserve"> .</w:t>
      </w:r>
    </w:p>
    <w:p w14:paraId="4445395A" w14:textId="77777777" w:rsidR="009A0743" w:rsidRDefault="009A0743" w:rsidP="00B56235">
      <w:pPr>
        <w:spacing w:before="0"/>
        <w:ind w:left="0"/>
        <w:jc w:val="both"/>
        <w:rPr>
          <w:rFonts w:ascii="Calibri" w:hAnsi="Calibri"/>
          <w:sz w:val="20"/>
          <w:szCs w:val="20"/>
        </w:rPr>
      </w:pPr>
      <w:r w:rsidRPr="00DC035E">
        <w:rPr>
          <w:rFonts w:ascii="Calibri" w:eastAsia="Times New Roman" w:hAnsi="Calibri"/>
          <w:sz w:val="20"/>
          <w:szCs w:val="20"/>
        </w:rPr>
        <w:t xml:space="preserve">Calculer les coefficients de variation de </w:t>
      </w:r>
      <w:r>
        <w:rPr>
          <w:rFonts w:ascii="Calibri" w:eastAsia="Times New Roman" w:hAnsi="Calibri"/>
          <w:sz w:val="20"/>
          <w:szCs w:val="20"/>
        </w:rPr>
        <w:t>c</w:t>
      </w:r>
      <w:r w:rsidRPr="00DC035E">
        <w:rPr>
          <w:rFonts w:ascii="Calibri" w:eastAsia="Times New Roman" w:hAnsi="Calibri"/>
          <w:sz w:val="20"/>
          <w:szCs w:val="20"/>
        </w:rPr>
        <w:t>es séries et comparer la dispersion des salaires mensuels par rapport au salaire mensuel moyen, dans les deux entreprises</w:t>
      </w:r>
      <w:r w:rsidR="003A4260">
        <w:rPr>
          <w:rFonts w:ascii="Calibri" w:eastAsia="Times New Roman" w:hAnsi="Calibri"/>
          <w:sz w:val="20"/>
          <w:szCs w:val="20"/>
        </w:rPr>
        <w:t>.</w:t>
      </w:r>
    </w:p>
    <w:p w14:paraId="2EB6168D" w14:textId="77777777" w:rsidR="00032736" w:rsidRDefault="00032736" w:rsidP="009A0743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1A8BE56F" w14:textId="77777777" w:rsidR="003A4260" w:rsidRDefault="003A4260" w:rsidP="009A0743">
      <w:pPr>
        <w:spacing w:before="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03ED8E5F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B7B8B15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D9383C9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F33AA14" w14:textId="54FB6C03" w:rsidR="00032736" w:rsidRDefault="00032736" w:rsidP="00B56235">
      <w:pPr>
        <w:ind w:left="0" w:right="-2268" w:firstLine="6946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7C10CF54" w14:textId="77777777" w:rsidR="00E77C7B" w:rsidRDefault="00E77C7B" w:rsidP="003A4260">
      <w:pPr>
        <w:ind w:left="0"/>
        <w:rPr>
          <w:rFonts w:ascii="Calibri" w:eastAsia="Times New Roman" w:hAnsi="Calibri"/>
          <w:b/>
          <w:color w:val="0000FF"/>
          <w:sz w:val="20"/>
          <w:szCs w:val="20"/>
        </w:rPr>
      </w:pPr>
    </w:p>
    <w:p w14:paraId="2BEEB258" w14:textId="77777777" w:rsidR="003A4260" w:rsidRPr="00DC035E" w:rsidRDefault="003A4260" w:rsidP="00B56235">
      <w:pPr>
        <w:ind w:left="0"/>
        <w:jc w:val="both"/>
        <w:rPr>
          <w:rFonts w:ascii="Calibri" w:hAnsi="Calibri" w:cs="Arial"/>
          <w:color w:val="222222"/>
          <w:sz w:val="20"/>
          <w:szCs w:val="20"/>
          <w:shd w:val="clear" w:color="auto" w:fill="FFFFFF"/>
        </w:rPr>
      </w:pPr>
      <w:r w:rsidRPr="003A4260">
        <w:rPr>
          <w:rFonts w:ascii="Calibri" w:eastAsia="Times New Roman" w:hAnsi="Calibri"/>
          <w:b/>
          <w:color w:val="0000FF"/>
          <w:sz w:val="20"/>
          <w:szCs w:val="20"/>
        </w:rPr>
        <w:t>4.</w:t>
      </w:r>
      <w:r w:rsidRPr="00DC035E">
        <w:rPr>
          <w:rFonts w:ascii="Calibri" w:eastAsia="Times New Roman" w:hAnsi="Calibri"/>
          <w:sz w:val="20"/>
          <w:szCs w:val="20"/>
        </w:rPr>
        <w:t xml:space="preserve"> </w:t>
      </w:r>
      <w:r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Le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tableau du </w:t>
      </w:r>
      <w:r w:rsidRPr="00315E60">
        <w:rPr>
          <w:rFonts w:ascii="Calibri" w:hAnsi="Calibri" w:cs="Arial"/>
          <w:b/>
          <w:color w:val="00B050"/>
          <w:sz w:val="20"/>
          <w:szCs w:val="20"/>
          <w:shd w:val="clear" w:color="auto" w:fill="FFFFFF"/>
        </w:rPr>
        <w:t>fichier Ch3 CCF2</w:t>
      </w:r>
      <w:r>
        <w:rPr>
          <w:rFonts w:ascii="Calibri" w:hAnsi="Calibri" w:cs="Arial"/>
          <w:b/>
          <w:color w:val="00B050"/>
          <w:sz w:val="20"/>
          <w:szCs w:val="20"/>
          <w:shd w:val="clear" w:color="auto" w:fill="FFFFFF"/>
        </w:rPr>
        <w:t>.xls</w:t>
      </w:r>
      <w:r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affiche l'histo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rique des taux de change entre e</w:t>
      </w:r>
      <w:r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uro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s et y</w:t>
      </w:r>
      <w:r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en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s</w:t>
      </w:r>
      <w:r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entre le 18 septembre et le 12 octobre de l’année 2014.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Ouvrir ce fichier.</w:t>
      </w:r>
      <w:r w:rsidRPr="00F6143A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F3C91F0" w14:textId="6BFC2041" w:rsidR="003A4260" w:rsidRPr="000838BB" w:rsidRDefault="001323E4" w:rsidP="00B56235">
      <w:pPr>
        <w:ind w:left="0"/>
        <w:jc w:val="both"/>
        <w:rPr>
          <w:rFonts w:ascii="Calibri" w:hAnsi="Calibri"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EF5A75" wp14:editId="066501A1">
            <wp:simplePos x="0" y="0"/>
            <wp:positionH relativeFrom="column">
              <wp:posOffset>3345815</wp:posOffset>
            </wp:positionH>
            <wp:positionV relativeFrom="paragraph">
              <wp:posOffset>21590</wp:posOffset>
            </wp:positionV>
            <wp:extent cx="2954655" cy="2377440"/>
            <wp:effectExtent l="0" t="0" r="0" b="0"/>
            <wp:wrapSquare wrapText="bothSides"/>
            <wp:docPr id="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60" w:rsidRPr="003A4260">
        <w:rPr>
          <w:rFonts w:ascii="Calibri" w:hAnsi="Calibri" w:cs="Arial"/>
          <w:b/>
          <w:color w:val="0000FF"/>
          <w:sz w:val="20"/>
          <w:szCs w:val="20"/>
          <w:shd w:val="clear" w:color="auto" w:fill="FFFFFF"/>
        </w:rPr>
        <w:t>a)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="003A4260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En utilisant les fonctionnalités du tableur, c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onstruire</w:t>
      </w:r>
      <w:r w:rsidR="003A4260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le nuage de points  </w:t>
      </w:r>
      <w:r w:rsidR="003A4260" w:rsidRPr="00DC035E">
        <w:rPr>
          <w:rFonts w:ascii="Calibri" w:hAnsi="Calibri"/>
          <w:i/>
          <w:sz w:val="20"/>
        </w:rPr>
        <w:t>M</w:t>
      </w:r>
      <w:r w:rsidR="003A4260" w:rsidRPr="00DC035E">
        <w:rPr>
          <w:rFonts w:ascii="Calibri" w:hAnsi="Calibri"/>
          <w:i/>
          <w:sz w:val="20"/>
          <w:vertAlign w:val="subscript"/>
        </w:rPr>
        <w:t>i</w:t>
      </w:r>
      <w:r w:rsidR="003A4260" w:rsidRPr="00DC035E">
        <w:rPr>
          <w:rFonts w:ascii="Calibri" w:hAnsi="Calibri"/>
          <w:sz w:val="20"/>
        </w:rPr>
        <w:t xml:space="preserve"> ( </w:t>
      </w:r>
      <w:r w:rsidR="003A4260" w:rsidRPr="00DC035E">
        <w:rPr>
          <w:rFonts w:ascii="Calibri" w:hAnsi="Calibri"/>
          <w:i/>
          <w:sz w:val="20"/>
        </w:rPr>
        <w:t>x</w:t>
      </w:r>
      <w:r w:rsidR="003A4260" w:rsidRPr="00DC035E">
        <w:rPr>
          <w:rFonts w:ascii="Calibri" w:hAnsi="Calibri"/>
          <w:i/>
          <w:sz w:val="20"/>
          <w:vertAlign w:val="subscript"/>
        </w:rPr>
        <w:t>i</w:t>
      </w:r>
      <w:r w:rsidR="003A4260" w:rsidRPr="00DC035E">
        <w:rPr>
          <w:rFonts w:ascii="Calibri" w:hAnsi="Calibri"/>
          <w:sz w:val="20"/>
        </w:rPr>
        <w:t xml:space="preserve"> ; </w:t>
      </w:r>
      <w:r w:rsidR="003A4260" w:rsidRPr="00DC035E">
        <w:rPr>
          <w:rFonts w:ascii="Calibri" w:hAnsi="Calibri"/>
          <w:i/>
          <w:sz w:val="20"/>
        </w:rPr>
        <w:t>y</w:t>
      </w:r>
      <w:r w:rsidR="003A4260" w:rsidRPr="00DC035E">
        <w:rPr>
          <w:rFonts w:ascii="Calibri" w:hAnsi="Calibri"/>
          <w:i/>
          <w:sz w:val="20"/>
          <w:vertAlign w:val="subscript"/>
        </w:rPr>
        <w:t>i</w:t>
      </w:r>
      <w:r w:rsidR="003A4260" w:rsidRPr="00DC035E">
        <w:rPr>
          <w:rFonts w:ascii="Calibri" w:hAnsi="Calibri"/>
          <w:sz w:val="20"/>
        </w:rPr>
        <w:t xml:space="preserve"> ) </w:t>
      </w:r>
      <w:r w:rsidR="003A4260">
        <w:rPr>
          <w:rFonts w:ascii="Calibri" w:hAnsi="Calibri"/>
          <w:sz w:val="20"/>
        </w:rPr>
        <w:t xml:space="preserve">, 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où </w:t>
      </w:r>
      <w:r w:rsidR="003A4260" w:rsidRPr="00DC035E">
        <w:rPr>
          <w:rFonts w:ascii="Calibri" w:hAnsi="Calibri" w:cs="Arial"/>
          <w:i/>
          <w:color w:val="222222"/>
          <w:sz w:val="20"/>
          <w:szCs w:val="20"/>
          <w:shd w:val="clear" w:color="auto" w:fill="FFFFFF"/>
        </w:rPr>
        <w:t>x</w:t>
      </w:r>
      <w:r w:rsidR="003A4260" w:rsidRPr="00DC035E">
        <w:rPr>
          <w:rFonts w:ascii="Calibri" w:hAnsi="Calibri" w:cs="Arial"/>
          <w:i/>
          <w:color w:val="222222"/>
          <w:sz w:val="20"/>
          <w:szCs w:val="20"/>
          <w:shd w:val="clear" w:color="auto" w:fill="FFFFFF"/>
          <w:vertAlign w:val="subscript"/>
        </w:rPr>
        <w:t>i</w:t>
      </w:r>
      <w:r w:rsidR="003A4260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est le rang du jour et </w:t>
      </w:r>
      <w:r w:rsidR="003A4260" w:rsidRPr="00DC035E">
        <w:rPr>
          <w:rFonts w:ascii="Calibri" w:hAnsi="Calibri" w:cs="Arial"/>
          <w:i/>
          <w:color w:val="222222"/>
          <w:sz w:val="20"/>
          <w:szCs w:val="20"/>
          <w:shd w:val="clear" w:color="auto" w:fill="FFFFFF"/>
        </w:rPr>
        <w:t>y</w:t>
      </w:r>
      <w:r w:rsidR="003A4260" w:rsidRPr="00DC035E">
        <w:rPr>
          <w:rFonts w:ascii="Calibri" w:hAnsi="Calibri" w:cs="Arial"/>
          <w:i/>
          <w:color w:val="222222"/>
          <w:sz w:val="20"/>
          <w:szCs w:val="20"/>
          <w:shd w:val="clear" w:color="auto" w:fill="FFFFFF"/>
          <w:vertAlign w:val="subscript"/>
        </w:rPr>
        <w:t>i</w:t>
      </w:r>
      <w:r w:rsidR="003A4260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la valeur d’</w:t>
      </w:r>
      <w:r w:rsidR="003A4260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1</w:t>
      </w:r>
      <w:r w:rsidR="00E77C7B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="003A4260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€ en y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en</w:t>
      </w:r>
      <w:r w:rsidR="003A4260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s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au jour de rang </w:t>
      </w:r>
      <w:r w:rsidR="003A4260" w:rsidRPr="00DC035E">
        <w:rPr>
          <w:rFonts w:ascii="Calibri" w:hAnsi="Calibri" w:cs="Arial"/>
          <w:i/>
          <w:color w:val="222222"/>
          <w:sz w:val="20"/>
          <w:szCs w:val="20"/>
          <w:shd w:val="clear" w:color="auto" w:fill="FFFFFF"/>
        </w:rPr>
        <w:t>x</w:t>
      </w:r>
      <w:r w:rsidR="003A4260" w:rsidRPr="00DC035E">
        <w:rPr>
          <w:rFonts w:ascii="Calibri" w:hAnsi="Calibri" w:cs="Arial"/>
          <w:i/>
          <w:color w:val="222222"/>
          <w:sz w:val="20"/>
          <w:szCs w:val="20"/>
          <w:shd w:val="clear" w:color="auto" w:fill="FFFFFF"/>
          <w:vertAlign w:val="subscript"/>
        </w:rPr>
        <w:t>i</w:t>
      </w:r>
      <w:r w:rsidR="003A4260"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="003A4260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.</w:t>
      </w:r>
    </w:p>
    <w:p w14:paraId="51B79853" w14:textId="77777777" w:rsidR="003A4260" w:rsidRPr="003A4260" w:rsidRDefault="003A4260" w:rsidP="00B56235">
      <w:pPr>
        <w:spacing w:after="60"/>
        <w:ind w:left="0"/>
        <w:jc w:val="both"/>
        <w:rPr>
          <w:rFonts w:ascii="Calibri" w:eastAsia="Times New Roman" w:hAnsi="Calibri" w:cs="Arial"/>
          <w:i/>
          <w:sz w:val="20"/>
          <w:szCs w:val="20"/>
          <w:lang w:eastAsia="fr-FR"/>
        </w:rPr>
      </w:pPr>
      <w:r w:rsidRPr="003A4260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b)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 Ajouter la droite de régression et afficher son équation, ainsi que le coefficient R²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. </w:t>
      </w:r>
      <w:r w:rsidRPr="000838BB">
        <w:rPr>
          <w:rFonts w:ascii="Calibri" w:eastAsia="Times New Roman" w:hAnsi="Calibri" w:cs="Arial"/>
          <w:sz w:val="20"/>
          <w:szCs w:val="20"/>
          <w:lang w:eastAsia="fr-FR"/>
        </w:rPr>
        <w:t>Recopier les résultats :</w:t>
      </w:r>
      <w:r w:rsidRPr="003A4260">
        <w:rPr>
          <w:rFonts w:ascii="Calibri" w:eastAsia="Times New Roman" w:hAnsi="Calibri" w:cs="Arial"/>
          <w:i/>
          <w:sz w:val="20"/>
          <w:szCs w:val="20"/>
          <w:lang w:eastAsia="fr-FR"/>
        </w:rPr>
        <w:t xml:space="preserve"> </w:t>
      </w:r>
    </w:p>
    <w:p w14:paraId="0B5B96FA" w14:textId="77777777" w:rsidR="000838BB" w:rsidRPr="00E93D73" w:rsidRDefault="000838BB" w:rsidP="000838BB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="00B1752E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 w:rsidR="00B56235">
        <w:rPr>
          <w:rFonts w:ascii="Calibri" w:hAnsi="Calibri"/>
          <w:sz w:val="20"/>
          <w:szCs w:val="20"/>
        </w:rPr>
        <w:t>……</w:t>
      </w:r>
      <w:r w:rsidR="00B1752E">
        <w:rPr>
          <w:rFonts w:ascii="Calibri" w:hAnsi="Calibri"/>
          <w:sz w:val="20"/>
          <w:szCs w:val="20"/>
        </w:rPr>
        <w:t>………</w:t>
      </w:r>
    </w:p>
    <w:p w14:paraId="53BB9ABC" w14:textId="77777777" w:rsidR="000838BB" w:rsidRPr="00E93D73" w:rsidRDefault="000838BB" w:rsidP="000838BB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="00B1752E">
        <w:rPr>
          <w:rFonts w:ascii="Calibri" w:hAnsi="Calibri"/>
          <w:sz w:val="20"/>
          <w:szCs w:val="20"/>
        </w:rPr>
        <w:t>………………………………………………………………………</w:t>
      </w:r>
      <w:r w:rsidR="00B56235">
        <w:rPr>
          <w:rFonts w:ascii="Calibri" w:hAnsi="Calibri"/>
          <w:sz w:val="20"/>
          <w:szCs w:val="20"/>
        </w:rPr>
        <w:t>……</w:t>
      </w:r>
      <w:r w:rsidR="00B1752E">
        <w:rPr>
          <w:rFonts w:ascii="Calibri" w:hAnsi="Calibri"/>
          <w:sz w:val="20"/>
          <w:szCs w:val="20"/>
        </w:rPr>
        <w:t>…………</w:t>
      </w:r>
    </w:p>
    <w:p w14:paraId="5F2BF4B0" w14:textId="77777777" w:rsidR="000838BB" w:rsidRPr="00E93D73" w:rsidRDefault="000838BB" w:rsidP="000838BB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="00B1752E">
        <w:rPr>
          <w:rFonts w:ascii="Calibri" w:hAnsi="Calibri"/>
          <w:sz w:val="20"/>
          <w:szCs w:val="20"/>
        </w:rPr>
        <w:t>………………………………………………………………………</w:t>
      </w:r>
      <w:r w:rsidR="00B56235">
        <w:rPr>
          <w:rFonts w:ascii="Calibri" w:hAnsi="Calibri"/>
          <w:sz w:val="20"/>
          <w:szCs w:val="20"/>
        </w:rPr>
        <w:t>……</w:t>
      </w:r>
      <w:r w:rsidR="00B1752E">
        <w:rPr>
          <w:rFonts w:ascii="Calibri" w:hAnsi="Calibri"/>
          <w:sz w:val="20"/>
          <w:szCs w:val="20"/>
        </w:rPr>
        <w:t>…………</w:t>
      </w:r>
    </w:p>
    <w:p w14:paraId="3456EE56" w14:textId="77777777" w:rsidR="003A4260" w:rsidRDefault="003A4260" w:rsidP="003A4260">
      <w:pPr>
        <w:spacing w:after="6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3A4260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c)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 À l’aide de cet ajustement, extrapoler la valeur </w:t>
      </w:r>
      <w:r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d’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1 € en y</w:t>
      </w:r>
      <w:r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en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s</w:t>
      </w:r>
      <w:r w:rsidRPr="00DC03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>le dimanche 26 octobre 2014</w:t>
      </w:r>
      <w:r>
        <w:rPr>
          <w:rFonts w:ascii="Calibri" w:eastAsia="Times New Roman" w:hAnsi="Calibri" w:cs="Arial"/>
          <w:sz w:val="20"/>
          <w:szCs w:val="20"/>
          <w:lang w:eastAsia="fr-FR"/>
        </w:rPr>
        <w:t>, si la tendance se maintient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. </w:t>
      </w:r>
    </w:p>
    <w:p w14:paraId="06023063" w14:textId="77777777" w:rsidR="000838BB" w:rsidRPr="00E93D73" w:rsidRDefault="000838BB" w:rsidP="000838BB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="00B1752E">
        <w:rPr>
          <w:rFonts w:ascii="Calibri" w:hAnsi="Calibri"/>
          <w:sz w:val="20"/>
          <w:szCs w:val="20"/>
        </w:rPr>
        <w:t>……………………………………………</w:t>
      </w:r>
      <w:r w:rsidR="00B56235">
        <w:rPr>
          <w:rFonts w:ascii="Calibri" w:hAnsi="Calibri"/>
          <w:sz w:val="20"/>
          <w:szCs w:val="20"/>
        </w:rPr>
        <w:t>……</w:t>
      </w:r>
      <w:r w:rsidR="00B1752E">
        <w:rPr>
          <w:rFonts w:ascii="Calibri" w:hAnsi="Calibri"/>
          <w:sz w:val="20"/>
          <w:szCs w:val="20"/>
        </w:rPr>
        <w:t>……………………………………</w:t>
      </w:r>
    </w:p>
    <w:p w14:paraId="1D0702F5" w14:textId="77777777" w:rsidR="000838BB" w:rsidRPr="00E93D73" w:rsidRDefault="000838BB" w:rsidP="000838BB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</w:t>
      </w:r>
      <w:r w:rsidR="00B56235"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</w:p>
    <w:p w14:paraId="3109454D" w14:textId="77777777" w:rsidR="003A4260" w:rsidRPr="00DC035E" w:rsidRDefault="003A4260" w:rsidP="003A4260">
      <w:pPr>
        <w:spacing w:after="6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4BB45BB6" w14:textId="77777777" w:rsidR="003A4260" w:rsidRDefault="003A4260" w:rsidP="003A4260">
      <w:pPr>
        <w:spacing w:after="6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3A4260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5.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fr-FR"/>
        </w:rPr>
        <w:t>On désire comparer le salaire moyen dans ces deux entreprises.</w:t>
      </w:r>
    </w:p>
    <w:p w14:paraId="612F2C8F" w14:textId="77777777" w:rsidR="003A4260" w:rsidRDefault="003A4260" w:rsidP="003A4260">
      <w:pPr>
        <w:spacing w:after="6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3A4260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a)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 Convertir le salaire mensuel moye</w:t>
      </w:r>
      <w:r>
        <w:rPr>
          <w:rFonts w:ascii="Calibri" w:eastAsia="Times New Roman" w:hAnsi="Calibri" w:cs="Arial"/>
          <w:sz w:val="20"/>
          <w:szCs w:val="20"/>
          <w:lang w:eastAsia="fr-FR"/>
        </w:rPr>
        <w:t>n de l’entreprise française en y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>en</w:t>
      </w:r>
      <w:r>
        <w:rPr>
          <w:rFonts w:ascii="Calibri" w:eastAsia="Times New Roman" w:hAnsi="Calibri" w:cs="Arial"/>
          <w:sz w:val="20"/>
          <w:szCs w:val="20"/>
          <w:lang w:eastAsia="fr-FR"/>
        </w:rPr>
        <w:t>s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>, le jeudi 18 septembre 2014 et le dimanche 26 octobr</w:t>
      </w:r>
      <w:r>
        <w:rPr>
          <w:rFonts w:ascii="Calibri" w:eastAsia="Times New Roman" w:hAnsi="Calibri" w:cs="Arial"/>
          <w:sz w:val="20"/>
          <w:szCs w:val="20"/>
          <w:lang w:eastAsia="fr-FR"/>
        </w:rPr>
        <w:t>e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 2014. </w:t>
      </w:r>
    </w:p>
    <w:p w14:paraId="69CD42D0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2890FBD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F2D87E5" w14:textId="77777777" w:rsidR="003A4260" w:rsidRDefault="003A4260" w:rsidP="003A4260">
      <w:pPr>
        <w:spacing w:after="6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Comparer au salaire mensuel moyen dans l’entreprise japonaise.</w:t>
      </w:r>
    </w:p>
    <w:p w14:paraId="70C34BE9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F4413D2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1B9219A" w14:textId="77777777" w:rsidR="003A4260" w:rsidRDefault="003A4260" w:rsidP="003A4260">
      <w:pPr>
        <w:spacing w:after="6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  <w:r w:rsidRPr="003A4260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b)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 Calculer le taux d’évolution en pourcentage du salaire mensuel</w:t>
      </w:r>
      <w:r>
        <w:rPr>
          <w:rFonts w:ascii="Calibri" w:eastAsia="Times New Roman" w:hAnsi="Calibri" w:cs="Arial"/>
          <w:sz w:val="20"/>
          <w:szCs w:val="20"/>
          <w:lang w:eastAsia="fr-FR"/>
        </w:rPr>
        <w:t>, exprimé en y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>en</w:t>
      </w:r>
      <w:r>
        <w:rPr>
          <w:rFonts w:ascii="Calibri" w:eastAsia="Times New Roman" w:hAnsi="Calibri" w:cs="Arial"/>
          <w:sz w:val="20"/>
          <w:szCs w:val="20"/>
          <w:lang w:eastAsia="fr-FR"/>
        </w:rPr>
        <w:t>s,</w:t>
      </w:r>
      <w:r w:rsidRPr="00DC035E">
        <w:rPr>
          <w:rFonts w:ascii="Calibri" w:eastAsia="Times New Roman" w:hAnsi="Calibri" w:cs="Arial"/>
          <w:sz w:val="20"/>
          <w:szCs w:val="20"/>
          <w:lang w:eastAsia="fr-FR"/>
        </w:rPr>
        <w:t xml:space="preserve"> entre le jeudi 18 septembre et le dimanche 26 octobre de l’année 2014. </w:t>
      </w:r>
    </w:p>
    <w:p w14:paraId="764AE144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1B0E31E" w14:textId="77777777" w:rsidR="00B56235" w:rsidRDefault="00B56235" w:rsidP="00B56235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A05C1A6" w14:textId="77777777" w:rsidR="000838BB" w:rsidRPr="00DC035E" w:rsidRDefault="000838BB" w:rsidP="003A4260">
      <w:pPr>
        <w:spacing w:after="60"/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79E2EFA4" w14:textId="77777777" w:rsidR="00032736" w:rsidRDefault="00032736" w:rsidP="008B1CFC">
      <w:pPr>
        <w:ind w:left="0"/>
        <w:rPr>
          <w:rFonts w:ascii="Calibri" w:eastAsia="Times New Roman" w:hAnsi="Calibri" w:cs="Arial"/>
          <w:sz w:val="20"/>
          <w:szCs w:val="20"/>
          <w:lang w:eastAsia="fr-FR"/>
        </w:rPr>
      </w:pPr>
    </w:p>
    <w:p w14:paraId="12106DD4" w14:textId="77777777" w:rsidR="00032736" w:rsidRDefault="00032736" w:rsidP="00032736">
      <w:pPr>
        <w:ind w:left="0"/>
        <w:rPr>
          <w:rFonts w:ascii="Calibri" w:hAnsi="Calibri"/>
          <w:sz w:val="20"/>
        </w:rPr>
      </w:pPr>
    </w:p>
    <w:p w14:paraId="1B520C40" w14:textId="77777777" w:rsidR="00EF4DC4" w:rsidRDefault="00EF4DC4" w:rsidP="00032736">
      <w:pPr>
        <w:ind w:left="0"/>
        <w:rPr>
          <w:rFonts w:ascii="Calibri" w:hAnsi="Calibri"/>
          <w:sz w:val="20"/>
        </w:rPr>
      </w:pPr>
    </w:p>
    <w:sectPr w:rsidR="00EF4DC4" w:rsidSect="00B56235">
      <w:headerReference w:type="default" r:id="rId10"/>
      <w:footerReference w:type="default" r:id="rId11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BA89" w14:textId="77777777" w:rsidR="00656D3E" w:rsidRDefault="00656D3E" w:rsidP="003E66CB">
      <w:pPr>
        <w:spacing w:before="0"/>
      </w:pPr>
      <w:r>
        <w:separator/>
      </w:r>
    </w:p>
  </w:endnote>
  <w:endnote w:type="continuationSeparator" w:id="0">
    <w:p w14:paraId="3EEE52F3" w14:textId="77777777" w:rsidR="00656D3E" w:rsidRDefault="00656D3E" w:rsidP="003E6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B620" w14:textId="7974A5B8" w:rsidR="00C20EBD" w:rsidRDefault="00C20EBD" w:rsidP="00B56235">
    <w:pPr>
      <w:pStyle w:val="Pieddepage"/>
      <w:tabs>
        <w:tab w:val="clear" w:pos="9072"/>
        <w:tab w:val="right" w:pos="9923"/>
      </w:tabs>
      <w:ind w:left="0" w:right="360"/>
      <w:jc w:val="both"/>
    </w:pPr>
    <w:r>
      <w:rPr>
        <w:sz w:val="20"/>
      </w:rPr>
      <w:tab/>
    </w:r>
    <w:r w:rsidR="00D34D1D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D34D1D">
      <w:rPr>
        <w:rStyle w:val="Numrodepage"/>
        <w:sz w:val="20"/>
      </w:rPr>
      <w:fldChar w:fldCharType="separate"/>
    </w:r>
    <w:r w:rsidR="00B446A9">
      <w:rPr>
        <w:rStyle w:val="Numrodepage"/>
        <w:noProof/>
        <w:sz w:val="20"/>
      </w:rPr>
      <w:t>1</w:t>
    </w:r>
    <w:r w:rsidR="00D34D1D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C466" w14:textId="77777777" w:rsidR="00656D3E" w:rsidRDefault="00656D3E" w:rsidP="003E66CB">
      <w:pPr>
        <w:spacing w:before="0"/>
      </w:pPr>
      <w:r>
        <w:separator/>
      </w:r>
    </w:p>
  </w:footnote>
  <w:footnote w:type="continuationSeparator" w:id="0">
    <w:p w14:paraId="3EB39E05" w14:textId="77777777" w:rsidR="00656D3E" w:rsidRDefault="00656D3E" w:rsidP="003E6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469A" w14:textId="2ECB62CD" w:rsidR="003E66CB" w:rsidRDefault="001323E4" w:rsidP="003E66CB">
    <w:pPr>
      <w:pStyle w:val="En-tte"/>
      <w:ind w:left="-709" w:right="-567"/>
    </w:pPr>
    <w:r w:rsidRPr="00C8565B">
      <w:rPr>
        <w:noProof/>
        <w:lang w:eastAsia="fr-FR"/>
      </w:rPr>
      <w:drawing>
        <wp:inline distT="0" distB="0" distL="0" distR="0" wp14:anchorId="3C62DA4E" wp14:editId="2FBADD5F">
          <wp:extent cx="7106920" cy="779145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33"/>
    <w:rsid w:val="00032736"/>
    <w:rsid w:val="00033290"/>
    <w:rsid w:val="000838BB"/>
    <w:rsid w:val="000E42E7"/>
    <w:rsid w:val="001323E4"/>
    <w:rsid w:val="001E286E"/>
    <w:rsid w:val="001E35FB"/>
    <w:rsid w:val="00277C56"/>
    <w:rsid w:val="003A04C9"/>
    <w:rsid w:val="003A4260"/>
    <w:rsid w:val="003B6A93"/>
    <w:rsid w:val="003E66CB"/>
    <w:rsid w:val="00415C4C"/>
    <w:rsid w:val="00463E10"/>
    <w:rsid w:val="004A78D2"/>
    <w:rsid w:val="004E1A4E"/>
    <w:rsid w:val="004F1572"/>
    <w:rsid w:val="00501FCD"/>
    <w:rsid w:val="005052B5"/>
    <w:rsid w:val="00526457"/>
    <w:rsid w:val="005374DA"/>
    <w:rsid w:val="0057269E"/>
    <w:rsid w:val="005F1091"/>
    <w:rsid w:val="0065387B"/>
    <w:rsid w:val="00656D3E"/>
    <w:rsid w:val="00683EAC"/>
    <w:rsid w:val="00744664"/>
    <w:rsid w:val="00770ED8"/>
    <w:rsid w:val="007771C2"/>
    <w:rsid w:val="007A158C"/>
    <w:rsid w:val="007A6F12"/>
    <w:rsid w:val="008448EC"/>
    <w:rsid w:val="00854C43"/>
    <w:rsid w:val="00864586"/>
    <w:rsid w:val="00883E68"/>
    <w:rsid w:val="008B1CFC"/>
    <w:rsid w:val="008F6333"/>
    <w:rsid w:val="0093244D"/>
    <w:rsid w:val="00942971"/>
    <w:rsid w:val="00995868"/>
    <w:rsid w:val="009A0743"/>
    <w:rsid w:val="009E0140"/>
    <w:rsid w:val="00A035E3"/>
    <w:rsid w:val="00A33C40"/>
    <w:rsid w:val="00A56129"/>
    <w:rsid w:val="00A908E1"/>
    <w:rsid w:val="00AC13CA"/>
    <w:rsid w:val="00AC1998"/>
    <w:rsid w:val="00B1752E"/>
    <w:rsid w:val="00B446A9"/>
    <w:rsid w:val="00B56235"/>
    <w:rsid w:val="00BC49D3"/>
    <w:rsid w:val="00BE1F80"/>
    <w:rsid w:val="00C050BD"/>
    <w:rsid w:val="00C20EBD"/>
    <w:rsid w:val="00C52A1C"/>
    <w:rsid w:val="00C61857"/>
    <w:rsid w:val="00C77547"/>
    <w:rsid w:val="00D34D1D"/>
    <w:rsid w:val="00DB1797"/>
    <w:rsid w:val="00E1149E"/>
    <w:rsid w:val="00E67515"/>
    <w:rsid w:val="00E77C7B"/>
    <w:rsid w:val="00E95F5D"/>
    <w:rsid w:val="00E978AB"/>
    <w:rsid w:val="00EC53B7"/>
    <w:rsid w:val="00EF4DC4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E12A"/>
  <w15:chartTrackingRefBased/>
  <w15:docId w15:val="{2070FD69-C289-4AE0-883D-E5F3BA1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4D"/>
    <w:pPr>
      <w:spacing w:before="60"/>
      <w:ind w:left="1418"/>
    </w:pPr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33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semiHidden/>
    <w:rsid w:val="00C2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5%20BTS\BTS%20LP\BTS%20CCF\BTS%20ch1%20CC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BTS ch1 CCF</Template>
  <TotalTime>1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RM</dc:creator>
  <cp:keywords/>
  <cp:lastModifiedBy>Christophe DEFOSSE</cp:lastModifiedBy>
  <cp:revision>3</cp:revision>
  <dcterms:created xsi:type="dcterms:W3CDTF">2020-10-14T15:24:00Z</dcterms:created>
  <dcterms:modified xsi:type="dcterms:W3CDTF">2020-10-14T15:25:00Z</dcterms:modified>
</cp:coreProperties>
</file>